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b w:val="1"/>
          <w:color w:val="000000"/>
          <w:sz w:val="36"/>
          <w:szCs w:val="36"/>
        </w:rPr>
      </w:pPr>
      <w:bookmarkStart w:colFirst="0" w:colLast="0" w:name="_gjdgxs" w:id="0"/>
      <w:bookmarkEnd w:id="0"/>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When you should use this Schedule</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This Call-Off Schedule 19 may be included to adapt the Core Terms and Schedules so that the Call Off Contract is under Scottish Law.</w:t>
      </w:r>
      <w:r w:rsidDel="00000000" w:rsidR="00000000" w:rsidRPr="00000000">
        <w:rPr>
          <w:rtl w:val="0"/>
        </w:rPr>
      </w:r>
    </w:p>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Changes to the Core Terms</w:t>
      </w:r>
      <w:r w:rsidDel="00000000" w:rsidR="00000000" w:rsidRPr="00000000">
        <w:rPr>
          <w:rtl w:val="0"/>
        </w:rPr>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Clause 19, (Other people’s rights in this contract) – “Contract Rights of Third Parties Act (CRTPA)” shall be replaced by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Contract (Third Party Rights) (Scotland) Act 2017 (CTPRSA)</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CRTPA</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CTPRSA</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Clause 34 (Resolving Disputes):</w:t>
      </w:r>
      <w:r w:rsidDel="00000000" w:rsidR="00000000" w:rsidRPr="00000000">
        <w:rPr>
          <w:rtl w:val="0"/>
        </w:rPr>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Clause 34.2 – add the following wording: “The governing law and jurisdiction provisions of CEDR’s Model Mediation Agreement shall be deemed to be amended to refer to the laws of Scotland and the Court of Session.”</w:t>
      </w:r>
      <w:r w:rsidDel="00000000" w:rsidR="00000000" w:rsidRPr="00000000">
        <w:rPr>
          <w:rtl w:val="0"/>
        </w:rPr>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Clause 34.3  The term “Courts of England and Wales” shall be amended to read </w:t>
      </w:r>
      <w:r w:rsidDel="00000000" w:rsidR="00000000" w:rsidRPr="00000000">
        <w:rPr>
          <w:rFonts w:ascii="Arial" w:cs="Arial" w:eastAsia="Arial" w:hAnsi="Arial"/>
          <w:i w:val="1"/>
          <w:color w:val="000000"/>
          <w:sz w:val="24"/>
          <w:szCs w:val="24"/>
          <w:rtl w:val="0"/>
        </w:rPr>
        <w:t xml:space="preserve">“Court of Session” </w:t>
      </w:r>
      <w:r w:rsidDel="00000000" w:rsidR="00000000" w:rsidRPr="00000000">
        <w:rPr>
          <w:rtl w:val="0"/>
        </w:rPr>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Clause 34.4 – Conduct of Arbitration. </w:t>
      </w:r>
      <w:r w:rsidDel="00000000" w:rsidR="00000000" w:rsidRPr="00000000">
        <w:rPr>
          <w:rtl w:val="0"/>
        </w:rPr>
      </w:r>
    </w:p>
    <w:p w:rsidR="00000000" w:rsidDel="00000000" w:rsidP="00000000" w:rsidRDefault="00000000" w:rsidRPr="00000000" w14:paraId="0000000B">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i w:val="1"/>
          <w:color w:val="000000"/>
          <w:sz w:val="24"/>
          <w:szCs w:val="24"/>
          <w:rtl w:val="0"/>
        </w:rPr>
        <w:t xml:space="preserve">under the London Court of International Arbitration rules current at the time of the Dispute</w:t>
      </w:r>
      <w:r w:rsidDel="00000000" w:rsidR="00000000" w:rsidRPr="00000000">
        <w:rPr>
          <w:rFonts w:ascii="Arial" w:cs="Arial" w:eastAsia="Arial" w:hAnsi="Arial"/>
          <w:color w:val="000000"/>
          <w:sz w:val="24"/>
          <w:szCs w:val="24"/>
          <w:rtl w:val="0"/>
        </w:rPr>
        <w:t xml:space="preserve">” shall be deleted.</w:t>
      </w:r>
      <w:r w:rsidDel="00000000" w:rsidR="00000000" w:rsidRPr="00000000">
        <w:rPr>
          <w:rtl w:val="0"/>
        </w:rPr>
      </w:r>
    </w:p>
    <w:p w:rsidR="00000000" w:rsidDel="00000000" w:rsidP="00000000" w:rsidRDefault="00000000" w:rsidRPr="00000000" w14:paraId="0000000C">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pPr>
      <w:r w:rsidDel="00000000" w:rsidR="00000000" w:rsidRPr="00000000">
        <w:rPr>
          <w:rFonts w:ascii="Arial" w:cs="Arial" w:eastAsia="Arial" w:hAnsi="Arial"/>
          <w:color w:val="000000"/>
          <w:sz w:val="24"/>
          <w:szCs w:val="24"/>
          <w:rtl w:val="0"/>
        </w:rPr>
        <w:t xml:space="preserve">The seat or legal place of the arbitration shall be amended so that it takes place in “</w:t>
      </w:r>
      <w:r w:rsidDel="00000000" w:rsidR="00000000" w:rsidRPr="00000000">
        <w:rPr>
          <w:rFonts w:ascii="Arial" w:cs="Arial" w:eastAsia="Arial" w:hAnsi="Arial"/>
          <w:i w:val="1"/>
          <w:color w:val="000000"/>
          <w:sz w:val="24"/>
          <w:szCs w:val="24"/>
          <w:rtl w:val="0"/>
        </w:rPr>
        <w:t xml:space="preserve">Edinburgh</w:t>
      </w:r>
      <w:r w:rsidDel="00000000" w:rsidR="00000000" w:rsidRPr="00000000">
        <w:rPr>
          <w:rFonts w:ascii="Arial" w:cs="Arial" w:eastAsia="Arial" w:hAnsi="Arial"/>
          <w:color w:val="000000"/>
          <w:sz w:val="24"/>
          <w:szCs w:val="24"/>
          <w:rtl w:val="0"/>
        </w:rPr>
        <w:t xml:space="preserve">” as opposed to “</w:t>
      </w:r>
      <w:r w:rsidDel="00000000" w:rsidR="00000000" w:rsidRPr="00000000">
        <w:rPr>
          <w:rFonts w:ascii="Arial" w:cs="Arial" w:eastAsia="Arial" w:hAnsi="Arial"/>
          <w:i w:val="1"/>
          <w:color w:val="000000"/>
          <w:sz w:val="24"/>
          <w:szCs w:val="24"/>
          <w:rtl w:val="0"/>
        </w:rPr>
        <w:t xml:space="preserve">London</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0D">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pPr>
      <w:r w:rsidDel="00000000" w:rsidR="00000000" w:rsidRPr="00000000">
        <w:rPr>
          <w:rFonts w:ascii="Arial" w:cs="Arial" w:eastAsia="Arial" w:hAnsi="Arial"/>
          <w:color w:val="000000"/>
          <w:sz w:val="24"/>
          <w:szCs w:val="24"/>
          <w:rtl w:val="0"/>
        </w:rPr>
        <w:t xml:space="preserve">Add the following wording “</w:t>
      </w:r>
      <w:r w:rsidDel="00000000" w:rsidR="00000000" w:rsidRPr="00000000">
        <w:rPr>
          <w:rFonts w:ascii="Arial" w:cs="Arial" w:eastAsia="Arial" w:hAnsi="Arial"/>
          <w:i w:val="1"/>
          <w:color w:val="000000"/>
          <w:sz w:val="24"/>
          <w:szCs w:val="24"/>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Clause 35 (Which Laws apply) – the words “</w:t>
      </w:r>
      <w:r w:rsidDel="00000000" w:rsidR="00000000" w:rsidRPr="00000000">
        <w:rPr>
          <w:rFonts w:ascii="Arial" w:cs="Arial" w:eastAsia="Arial" w:hAnsi="Arial"/>
          <w:i w:val="1"/>
          <w:color w:val="000000"/>
          <w:sz w:val="24"/>
          <w:szCs w:val="24"/>
          <w:rtl w:val="0"/>
        </w:rPr>
        <w:t xml:space="preserve">English Law</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the Law of Scotland</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Changes to the Joint Schedules</w:t>
      </w:r>
      <w:r w:rsidDel="00000000" w:rsidR="00000000" w:rsidRPr="00000000">
        <w:rPr>
          <w:rtl w:val="0"/>
        </w:rPr>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Joint Schedule 1 – Definitions shall be amended as follows:</w:t>
      </w:r>
      <w:r w:rsidDel="00000000" w:rsidR="00000000" w:rsidRPr="00000000">
        <w:rPr>
          <w:rtl w:val="0"/>
        </w:rPr>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The definition of “CRTPA” shall be replaced by “”CTPRSA” the Contract (Third Party Rights) (Scotland) Act 2017”.</w:t>
      </w:r>
      <w:r w:rsidDel="00000000" w:rsidR="00000000" w:rsidRPr="00000000">
        <w:rPr>
          <w:rtl w:val="0"/>
        </w:rPr>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the definition of “Dispute” the reference to “</w:t>
      </w:r>
      <w:r w:rsidDel="00000000" w:rsidR="00000000" w:rsidRPr="00000000">
        <w:rPr>
          <w:rFonts w:ascii="Arial" w:cs="Arial" w:eastAsia="Arial" w:hAnsi="Arial"/>
          <w:i w:val="1"/>
          <w:color w:val="000000"/>
          <w:sz w:val="24"/>
          <w:szCs w:val="24"/>
          <w:rtl w:val="0"/>
        </w:rPr>
        <w:t xml:space="preserve">English law</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the Law of Scotland</w:t>
      </w:r>
      <w:r w:rsidDel="00000000" w:rsidR="00000000" w:rsidRPr="00000000">
        <w:rPr>
          <w:rFonts w:ascii="Arial" w:cs="Arial" w:eastAsia="Arial" w:hAnsi="Arial"/>
          <w:color w:val="000000"/>
          <w:sz w:val="24"/>
          <w:szCs w:val="24"/>
          <w:rtl w:val="0"/>
        </w:rPr>
        <w:t xml:space="preserve">” and the reference to the “</w:t>
      </w:r>
      <w:r w:rsidDel="00000000" w:rsidR="00000000" w:rsidRPr="00000000">
        <w:rPr>
          <w:rFonts w:ascii="Arial" w:cs="Arial" w:eastAsia="Arial" w:hAnsi="Arial"/>
          <w:i w:val="1"/>
          <w:color w:val="000000"/>
          <w:sz w:val="24"/>
          <w:szCs w:val="24"/>
          <w:rtl w:val="0"/>
        </w:rPr>
        <w:t xml:space="preserve">English courts</w:t>
      </w:r>
      <w:r w:rsidDel="00000000" w:rsidR="00000000" w:rsidRPr="00000000">
        <w:rPr>
          <w:rFonts w:ascii="Arial" w:cs="Arial" w:eastAsia="Arial" w:hAnsi="Arial"/>
          <w:color w:val="000000"/>
          <w:sz w:val="24"/>
          <w:szCs w:val="24"/>
          <w:rtl w:val="0"/>
        </w:rPr>
        <w:t xml:space="preserve">” shall be replaced by the “</w:t>
      </w:r>
      <w:r w:rsidDel="00000000" w:rsidR="00000000" w:rsidRPr="00000000">
        <w:rPr>
          <w:rFonts w:ascii="Arial" w:cs="Arial" w:eastAsia="Arial" w:hAnsi="Arial"/>
          <w:i w:val="1"/>
          <w:color w:val="000000"/>
          <w:sz w:val="24"/>
          <w:szCs w:val="24"/>
          <w:rtl w:val="0"/>
        </w:rPr>
        <w:t xml:space="preserve">courts of Scotland</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the definition of “Insolvency Event” – the word </w:t>
      </w:r>
      <w:r w:rsidDel="00000000" w:rsidR="00000000" w:rsidRPr="00000000">
        <w:rPr>
          <w:rFonts w:ascii="Arial" w:cs="Arial" w:eastAsia="Arial" w:hAnsi="Arial"/>
          <w:i w:val="1"/>
          <w:color w:val="000000"/>
          <w:sz w:val="24"/>
          <w:szCs w:val="24"/>
          <w:rtl w:val="0"/>
        </w:rPr>
        <w:t xml:space="preserve">“Assignment”</w:t>
      </w:r>
      <w:r w:rsidDel="00000000" w:rsidR="00000000" w:rsidRPr="00000000">
        <w:rPr>
          <w:rFonts w:ascii="Arial" w:cs="Arial" w:eastAsia="Arial" w:hAnsi="Arial"/>
          <w:color w:val="000000"/>
          <w:sz w:val="24"/>
          <w:szCs w:val="24"/>
          <w:rtl w:val="0"/>
        </w:rPr>
        <w:t xml:space="preserve"> replaced by </w:t>
      </w:r>
      <w:r w:rsidDel="00000000" w:rsidR="00000000" w:rsidRPr="00000000">
        <w:rPr>
          <w:rFonts w:ascii="Arial" w:cs="Arial" w:eastAsia="Arial" w:hAnsi="Arial"/>
          <w:i w:val="1"/>
          <w:color w:val="000000"/>
          <w:sz w:val="24"/>
          <w:szCs w:val="24"/>
          <w:rtl w:val="0"/>
        </w:rPr>
        <w:t xml:space="preserve">“Assignation”.</w:t>
      </w:r>
      <w:r w:rsidDel="00000000" w:rsidR="00000000" w:rsidRPr="00000000">
        <w:rPr>
          <w:rtl w:val="0"/>
        </w:rPr>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the definition of “Losses” the</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word</w:t>
      </w:r>
      <w:r w:rsidDel="00000000" w:rsidR="00000000" w:rsidRPr="00000000">
        <w:rPr>
          <w:rFonts w:ascii="Arial" w:cs="Arial" w:eastAsia="Arial" w:hAnsi="Arial"/>
          <w:i w:val="1"/>
          <w:color w:val="000000"/>
          <w:sz w:val="24"/>
          <w:szCs w:val="24"/>
          <w:rtl w:val="0"/>
        </w:rPr>
        <w:t xml:space="preserve"> “tort”</w:t>
      </w:r>
      <w:r w:rsidDel="00000000" w:rsidR="00000000" w:rsidRPr="00000000">
        <w:rPr>
          <w:rFonts w:ascii="Arial" w:cs="Arial" w:eastAsia="Arial" w:hAnsi="Arial"/>
          <w:color w:val="000000"/>
          <w:sz w:val="24"/>
          <w:szCs w:val="24"/>
          <w:rtl w:val="0"/>
        </w:rPr>
        <w:t xml:space="preserve"> shall be replaced with </w:t>
      </w:r>
      <w:r w:rsidDel="00000000" w:rsidR="00000000" w:rsidRPr="00000000">
        <w:rPr>
          <w:rFonts w:ascii="Arial" w:cs="Arial" w:eastAsia="Arial" w:hAnsi="Arial"/>
          <w:i w:val="1"/>
          <w:color w:val="000000"/>
          <w:sz w:val="24"/>
          <w:szCs w:val="24"/>
          <w:rtl w:val="0"/>
        </w:rPr>
        <w:t xml:space="preserve">“delict”.</w:t>
      </w:r>
      <w:r w:rsidDel="00000000" w:rsidR="00000000" w:rsidRPr="00000000">
        <w:rPr>
          <w:rtl w:val="0"/>
        </w:rPr>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part (a) of the definition of “Intellectual Property Rights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the words</w:t>
      </w:r>
      <w:r w:rsidDel="00000000" w:rsidR="00000000" w:rsidRPr="00000000">
        <w:rPr>
          <w:rFonts w:ascii="Arial" w:cs="Arial" w:eastAsia="Arial" w:hAnsi="Arial"/>
          <w:i w:val="1"/>
          <w:color w:val="000000"/>
          <w:sz w:val="24"/>
          <w:szCs w:val="24"/>
          <w:rtl w:val="0"/>
        </w:rPr>
        <w:t xml:space="preserve"> “Know-How” </w:t>
      </w:r>
      <w:r w:rsidDel="00000000" w:rsidR="00000000" w:rsidRPr="00000000">
        <w:rPr>
          <w:rFonts w:ascii="Arial" w:cs="Arial" w:eastAsia="Arial" w:hAnsi="Arial"/>
          <w:color w:val="000000"/>
          <w:sz w:val="24"/>
          <w:szCs w:val="24"/>
          <w:rtl w:val="0"/>
        </w:rPr>
        <w:t xml:space="preserve">and</w:t>
      </w:r>
      <w:r w:rsidDel="00000000" w:rsidR="00000000" w:rsidRPr="00000000">
        <w:rPr>
          <w:rFonts w:ascii="Arial" w:cs="Arial" w:eastAsia="Arial" w:hAnsi="Arial"/>
          <w:i w:val="1"/>
          <w:color w:val="000000"/>
          <w:sz w:val="24"/>
          <w:szCs w:val="24"/>
          <w:rtl w:val="0"/>
        </w:rPr>
        <w:t xml:space="preserve"> “trade secrets” </w:t>
      </w:r>
      <w:r w:rsidDel="00000000" w:rsidR="00000000" w:rsidRPr="00000000">
        <w:rPr>
          <w:rFonts w:ascii="Arial" w:cs="Arial" w:eastAsia="Arial" w:hAnsi="Arial"/>
          <w:color w:val="000000"/>
          <w:sz w:val="24"/>
          <w:szCs w:val="24"/>
          <w:rtl w:val="0"/>
        </w:rPr>
        <w:t xml:space="preserve">refer to pre-existing know-how and trade secrets only</w:t>
      </w:r>
      <w:r w:rsidDel="00000000" w:rsidR="00000000" w:rsidRPr="00000000">
        <w:rPr>
          <w:rFonts w:ascii="Arial" w:cs="Arial" w:eastAsia="Arial" w:hAnsi="Arial"/>
          <w:i w:val="1"/>
          <w:color w:val="000000"/>
          <w:sz w:val="24"/>
          <w:szCs w:val="24"/>
          <w:rtl w:val="0"/>
        </w:rPr>
        <w:t xml:space="preserve">. </w:t>
      </w:r>
      <w:r w:rsidDel="00000000" w:rsidR="00000000" w:rsidRPr="00000000">
        <w:rPr>
          <w:rtl w:val="0"/>
        </w:rPr>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“Working Day”: reference to “</w:t>
      </w:r>
      <w:r w:rsidDel="00000000" w:rsidR="00000000" w:rsidRPr="00000000">
        <w:rPr>
          <w:rFonts w:ascii="Arial" w:cs="Arial" w:eastAsia="Arial" w:hAnsi="Arial"/>
          <w:i w:val="1"/>
          <w:color w:val="000000"/>
          <w:sz w:val="24"/>
          <w:szCs w:val="24"/>
          <w:rtl w:val="0"/>
        </w:rPr>
        <w:t xml:space="preserve">England and Wales</w:t>
      </w:r>
      <w:r w:rsidDel="00000000" w:rsidR="00000000" w:rsidRPr="00000000">
        <w:rPr>
          <w:rFonts w:ascii="Arial" w:cs="Arial" w:eastAsia="Arial" w:hAnsi="Arial"/>
          <w:color w:val="000000"/>
          <w:sz w:val="24"/>
          <w:szCs w:val="24"/>
          <w:rtl w:val="0"/>
        </w:rPr>
        <w:t xml:space="preserve">” replaced by “</w:t>
      </w:r>
      <w:r w:rsidDel="00000000" w:rsidR="00000000" w:rsidRPr="00000000">
        <w:rPr>
          <w:rFonts w:ascii="Arial" w:cs="Arial" w:eastAsia="Arial" w:hAnsi="Arial"/>
          <w:i w:val="1"/>
          <w:color w:val="000000"/>
          <w:sz w:val="24"/>
          <w:szCs w:val="24"/>
          <w:rtl w:val="0"/>
        </w:rPr>
        <w:t xml:space="preserve">Scotland</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pPr>
      <w:r w:rsidDel="00000000" w:rsidR="00000000" w:rsidRPr="00000000">
        <w:rPr>
          <w:rFonts w:ascii="Arial" w:cs="Arial" w:eastAsia="Arial" w:hAnsi="Arial"/>
          <w:color w:val="000000"/>
          <w:sz w:val="24"/>
          <w:szCs w:val="24"/>
          <w:rtl w:val="0"/>
        </w:rPr>
        <w:t xml:space="preserve">Where a Guarantee is selected, the following provisions of Joint Schedule 8 – Guarantee shall be amended as follows: </w:t>
      </w:r>
      <w:r w:rsidDel="00000000" w:rsidR="00000000" w:rsidRPr="00000000">
        <w:rPr>
          <w:rtl w:val="0"/>
        </w:rPr>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Throughout the whole Schedule delete all references to “deed of Guarantee” merely express as “Guarantee” </w:t>
      </w:r>
      <w:r w:rsidDel="00000000" w:rsidR="00000000" w:rsidRPr="00000000">
        <w:rPr>
          <w:rtl w:val="0"/>
        </w:rPr>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spacing w:after="120" w:before="120" w:line="240" w:lineRule="auto"/>
        <w:ind w:left="1996" w:hanging="720"/>
        <w:rPr/>
      </w:pPr>
      <w:r w:rsidDel="00000000" w:rsidR="00000000" w:rsidRPr="00000000">
        <w:rPr>
          <w:rFonts w:ascii="Arial" w:cs="Arial" w:eastAsia="Arial" w:hAnsi="Arial"/>
          <w:color w:val="000000"/>
          <w:sz w:val="24"/>
          <w:szCs w:val="24"/>
          <w:rtl w:val="0"/>
        </w:rPr>
        <w:t xml:space="preserve">In Annex 1 - Form of Guarantee:</w:t>
      </w:r>
      <w:r w:rsidDel="00000000" w:rsidR="00000000" w:rsidRPr="00000000">
        <w:rPr>
          <w:rtl w:val="0"/>
        </w:rPr>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WHEREAS (B) “deed” replaced by “contract”</w:t>
      </w:r>
      <w:r w:rsidDel="00000000" w:rsidR="00000000" w:rsidRPr="00000000">
        <w:rPr>
          <w:rtl w:val="0"/>
        </w:rPr>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bookmarkStart w:colFirst="0" w:colLast="0" w:name="_30j0zll" w:id="1"/>
      <w:bookmarkEnd w:id="1"/>
      <w:r w:rsidDel="00000000" w:rsidR="00000000" w:rsidRPr="00000000">
        <w:rPr>
          <w:rFonts w:ascii="Arial" w:cs="Arial" w:eastAsia="Arial" w:hAnsi="Arial"/>
          <w:color w:val="000000"/>
          <w:sz w:val="24"/>
          <w:szCs w:val="24"/>
          <w:rtl w:val="0"/>
        </w:rPr>
        <w:t xml:space="preserve">Clause 4.1 Delete references to “England and Wales” when referring to addresses.</w:t>
      </w:r>
      <w:r w:rsidDel="00000000" w:rsidR="00000000" w:rsidRPr="00000000">
        <w:rPr>
          <w:rtl w:val="0"/>
        </w:rPr>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Clause 12 – the word “</w:t>
      </w:r>
      <w:r w:rsidDel="00000000" w:rsidR="00000000" w:rsidRPr="00000000">
        <w:rPr>
          <w:rFonts w:ascii="Arial" w:cs="Arial" w:eastAsia="Arial" w:hAnsi="Arial"/>
          <w:i w:val="1"/>
          <w:color w:val="000000"/>
          <w:sz w:val="24"/>
          <w:szCs w:val="24"/>
          <w:rtl w:val="0"/>
        </w:rPr>
        <w:t xml:space="preserve">assignment” </w:t>
      </w:r>
      <w:r w:rsidDel="00000000" w:rsidR="00000000" w:rsidRPr="00000000">
        <w:rPr>
          <w:rFonts w:ascii="Arial" w:cs="Arial" w:eastAsia="Arial" w:hAnsi="Arial"/>
          <w:color w:val="000000"/>
          <w:sz w:val="24"/>
          <w:szCs w:val="24"/>
          <w:rtl w:val="0"/>
        </w:rPr>
        <w:t xml:space="preserve">shall be amended to “assignation”.</w:t>
      </w:r>
      <w:r w:rsidDel="00000000" w:rsidR="00000000" w:rsidRPr="00000000">
        <w:rPr>
          <w:rtl w:val="0"/>
        </w:rPr>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Clause 14 – “Contract (Rights of Third Parties) Act 1999” shall be amended to “Contract (Third Party Rights) (Scotland) Act 2017”.</w:t>
      </w:r>
      <w:r w:rsidDel="00000000" w:rsidR="00000000" w:rsidRPr="00000000">
        <w:rPr>
          <w:rtl w:val="0"/>
        </w:rPr>
      </w:r>
    </w:p>
    <w:p w:rsidR="00000000" w:rsidDel="00000000" w:rsidP="00000000" w:rsidRDefault="00000000" w:rsidRPr="00000000" w14:paraId="0000001E">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Clause 16 Governing Law (add “and Jurisdiction”). References to </w:t>
      </w:r>
      <w:r w:rsidDel="00000000" w:rsidR="00000000" w:rsidRPr="00000000">
        <w:rPr>
          <w:rFonts w:ascii="Arial" w:cs="Arial" w:eastAsia="Arial" w:hAnsi="Arial"/>
          <w:i w:val="1"/>
          <w:color w:val="000000"/>
          <w:sz w:val="24"/>
          <w:szCs w:val="24"/>
          <w:rtl w:val="0"/>
        </w:rPr>
        <w:t xml:space="preserve">“Courts of England”</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“Court of Session”.</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“English”</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“Scottish”</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England and Wales</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Scotland</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1F">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pPr>
      <w:r w:rsidDel="00000000" w:rsidR="00000000" w:rsidRPr="00000000">
        <w:rPr>
          <w:rFonts w:ascii="Arial" w:cs="Arial" w:eastAsia="Arial" w:hAnsi="Arial"/>
          <w:color w:val="000000"/>
          <w:sz w:val="24"/>
          <w:szCs w:val="24"/>
          <w:rtl w:val="0"/>
        </w:rPr>
        <w:t xml:space="preserve">Alter execution strip to read as follows:</w:t>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“IN WITNESS WHEREOF these presents consisting of this page and the [ ] preceding pages are executed in duplicate as follows:</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SIGNATURE:</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Name: </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Position:</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Place of signing:</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Date:</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 name:</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42"/>
        </w:tabs>
        <w:spacing w:after="120" w:before="240" w:line="240" w:lineRule="auto"/>
        <w:ind w:left="2880" w:hanging="720"/>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 address:”</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Changes to Call-Off Schedules</w:t>
      </w: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References to Legislation</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before="120" w:line="240" w:lineRule="auto"/>
        <w:ind w:left="1440" w:hanging="57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tl w:val="0"/>
        </w:rPr>
      </w:r>
    </w:p>
    <w:sectPr>
      <w:headerReference r:id="rId6" w:type="default"/>
      <w:foot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r>
  </w:p>
  <w:p w:rsidR="00000000" w:rsidDel="00000000" w:rsidP="00000000" w:rsidRDefault="00000000" w:rsidRPr="00000000" w14:paraId="0000003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000000"/>
        <w:sz w:val="20"/>
        <w:szCs w:val="20"/>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19 (Scottish Law)</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